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hd w:val="clear" w:fill="FFFFFF"/>
        <w:spacing w:before="0" w:beforeAutospacing="0" w:after="150" w:afterAutospacing="0"/>
        <w:ind w:left="0" w:right="0" w:firstLine="0"/>
        <w:jc w:val="center"/>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sz w:val="36"/>
          <w:szCs w:val="36"/>
          <w:shd w:val="clear" w:fill="FFFFFF"/>
        </w:rPr>
        <w:t>2024年广东省公务员录用考试《行测》题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一、常识判断。根据题目要求，在四个选项中选出一个最恰当的答案。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中国特色社会主义制度的最大优势是中国共</w:t>
      </w:r>
      <w:bookmarkStart w:id="0" w:name="_GoBack"/>
      <w:bookmarkEnd w:id="0"/>
      <w:r>
        <w:rPr>
          <w:rFonts w:hint="default" w:ascii="Helvetica" w:hAnsi="Helvetica" w:eastAsia="Helvetica" w:cs="Helvetica"/>
          <w:i w:val="0"/>
          <w:iCs w:val="0"/>
          <w:caps w:val="0"/>
          <w:color w:val="333333"/>
          <w:spacing w:val="0"/>
          <w:sz w:val="21"/>
          <w:szCs w:val="21"/>
          <w:shd w:val="clear" w:fill="FFFFFF"/>
        </w:rPr>
        <w:t>产党领导。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党确立习近平同志党中央的核心、全党的核心地位，确立习近平新时代中国特色社会主义思想的指导地位，反映了全党全军全国各族人民的共同心愿。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2024年3月5日，第十四届全国人民代表大会第二次会议在北京人民大会堂开幕。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对中华民族形成起决定作用的是对中华民族共同体的认同。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广东省是全国光、热和水资源相对匮乏的地区。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中国共产党是为中国人民谋幸福、为中华民族谋复兴的党，也是为人类谋进步、为世界谋大同的党。我们要拓展世界眼光，深刻洞察人类发展进步潮流，积极回应各国人民普遍关切，为解决人类面临的共同问题作出贡献，以海纳百川的宽阔胸襟借鉴吸收人类一切优秀文明成果，推动建设更加美好的世界。这段话最能体现习近平新时代中国特色社会主义思想（    ）的立场观点方法。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A、必须坚持人民至上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B、必须坚持守正创新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C、必须坚持系统理念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D、必须坚持胸怀天下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要挖掘中华优秀传统文化的思想观念、人文精神、道德规范，把艺术创造力和中华文化价值融合起来，把中华美学精神和当代审美追求结合起来，激活中华文化生命力，下列选项最能体现这一理念的是（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A、立文之道，惟字与义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B、得道者多助，失道者寡助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C、收百世之阙文，采千载之遗韵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D、观古今于须臾，抚四海于一瞬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1930年，毛泽东同志在文章中强调调查研究是一切工作的第一步，提出了“没有调查，没有发言权”的著名论断。这一论断出自他的（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A、《星星之火，可以燎原》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B、《反对本本主义》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C、《中国革命和中国共产党》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D、《论十大关系》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2023年4月，习近平总书记在广东视察时指出，粤港澳大湾区在全国新发展格局中具有重要战略地位，以下不属于粤港澳大湾区战略地位的是（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A、具有世界凝合力的双向开放枢纽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B、新发展格局的战略支点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C、高质量发展的示范地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D、中国式现代化的引领地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2024年2月，广东召开全省高质量发展大会，会议强调，推进产业科技创新，发展新质生产力是广东的战略之举、长远之策。以下有关广东高质量发展要求的表述，不准确的是（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A、要坚持以开放促改革、促创新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B、要持续营造有利于创新的政策和制度环境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C、要全力支持高校做创新的主角，推动创新资源向高校集聚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D、要依托市场优势吸聚创新资源，运用市场机制兑现创新价值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党的二十大报告指出，要完善社会治理体系。关于完善社会治理体系，以下说法准确的有（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A、完善社会治理体系必须着力解决社会治安难题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B、完善社会治理体系必须提高重大突发公共事件处置保障能力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C、完善社会治理体系是一场广泛而深刻的经济社会系统性变革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D、完善社会治理体系是推进国家治理体系特别是国家安全体系现代化的基础性工作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矛盾是反映事物内部或者事物之间对立统一关系的哲学范畴。矛盾的同一性是指矛盾着的对立面相互依存、相互贯通的性质和趋势。关于矛盾的同一性，以下表述正确的有（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A、在矛盾双方中，一方的发展以另一方的发展为条件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B、矛盾双方相互吸取有利于自身的因素，在相互作用中各自得到发展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C、事物的发展方向、趋势不是随意的，而是有规律地向自己的对立面转化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D、矛盾双方的统一是一种矛盾统一体向另一种矛盾统一体过渡的决定性力量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面对重重困难艰辛探索适合中国国情的社会主义建设道路过程中，涌现出大量先进典型和英雄模范人物，抒写了无数改天换地的壮丽诗篇，形成跨越时空、历久弥新的时代精神。下列词句关联人物的主要事迹，发生于社会主义建设时期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A、“清澈的爱，只为中国”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B、“干惊天动地事，做隐姓埋名人”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C、“生也沙丘，死也沙丘，父老生死系”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D、“以青春之我，创建青春之家庭，青春之国家，青春之民族”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马克思主义道德观认为，人类社会的实际情况是“物质生活的生产方式制约着整个社会生活、政治生活和精神生活的过程。”关于道德起源问题，以下认识正确的有（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A、劳动是道德起源的首要前提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B、道德起源于人与生俱来的善性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C、社会关系是道德赖以产生的客观条件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D、人的自我意识是道德产生的主观条件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根据《中华人民共和国爱国主义教育法》，以下属于爱国主义教育主要内容的有（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A、马克思列宁主义、毛泽东思想、邓小平理论、“三个代表”重要思想、科学发展观、习近平新时代中国特色社会主义思想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B、国旗、国歌、国徽等国家象征和标志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C、祖国的壮美河山和历史文化遗产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D、宪法和法律，国家统一和民族团结、国家安全和国防等方面的意识和观念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二、言语理解与表达。本部分包括表达与理解两方面的内容。请根据题目要求，在四个选项中选出一个最恰当的答案。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在南粤大地，一场场深入群众的宣传宣讲，一个个扎根基层的思政课堂，都在</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着广东牢记嘱托、感恩奋进的生动实践。</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A、诉说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B、倾诉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C、倾听</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D、传达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我们取得的历史性成就、发生的历史性变革，在人类历史长河中是不多见的。这些实实在在的进步，让每一个中国人都倍感荣光，让唱衰中国的歪理邪说</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，也让越来越多的国际有识之士为我们点赞。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A、不合时宜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B、不名一文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C、不攻自破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D、不以为然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潮涌湾区，</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。这片GDP超13万亿元的热土，正在面向全球展示发展机遇和投资商机，邀请全球投资者、企业家、创新创业者共同谱写粤港澳大湾区建设的壮丽篇章。</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A、涓滴不漏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B、千帆竞渡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C、风高浪急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D、海天一色</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同蒸汽时代既改造手工作坊又产生蒸汽船、蒸汽机车和无数新的商业机会，电气时代既重构蒸汽时代的制造业同时也发展出化学工业、内燃机等新的产业一样，通过数字经济和实体经济的深度融合重构既有经济体系，是一个</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又</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的创造性破坏过程。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A、简短 迅速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B、简易 短暂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C、繁杂 冗长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D、复杂 漫长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实现博物馆业高质量发展，需要做好藏品推介 。</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自身资源，讲好文化故事，才能让博物馆里</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的典籍珍宝绽放风采，受到更多观众的喜爱。</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依次填入画横线部分最恰当的一项是：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A、改造 凤毛麟角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B、盘活 浩如烟海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C、发掘 车载斗量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D、优化 寥若晨星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纪录片肩负着在国际交流中真实展现中国形象、有效传播中国声音的使命。加强国际传播能力建设，是中国纪录片发展面临的重大课题。既要创新传播形式、拓展传播平台、细分国际受众，也要积极拓宽素材的维度与视野，加强国际化叙事表达，丰富能激发受众情感共鸣的主题内容，增强国际传播实效。</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根据以上文段，作者意在强调：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A、要着力提升纪录片的国际传播能力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B、要通过纪录片更好地展现国情风貌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C、要积极拓宽纪录片素材的维度与视野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D、要选取能引起观众共鸣的纪录片主题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大力倡导绿色消费方式是实现经济高质量发展和生态环境高水平保护共赢的重要推动力。要进一步引导全社会认同绿色消费，使绿色消费方式成为公众自觉选择；引导促进绿色产品消费，为促进经济社会发展全面绿色转型创造条件；全面推动各领域消费绿色转型升级，形成节约适度、绿色低碳、文明健康的生活方式和消费模式。</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本段文字主要讲了（    ）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A、如何倡导绿色消费方式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B、如何实现经济高质量发展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C、为什么要倡导绿色消费方式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D、为什么要实现经济高质量发展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当前，数字经济规则已成为国际经贸规则竞争的制高点。在新发展格局下，中国应主动参与数字经济国际规则谈判，积极争取与欧盟等区域外经济体签订数字贸易和数字经济合作框架，持续推动加入《数字经济伙伴关系协定》，提升在数字经济国际规则竞争中的话语权和规则制定权。</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根据这段文字，作者最有可能认同：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A、全球数字技术深度合作尚存阻碍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B、中国应深度参与全球数字经济规则制定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C、数字经济发展催生数字技术国际合作壁垒</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D、各国应致力于促进数字经济发展红利的共享</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各地各部门要牢固树立人才是第一资源的发展理念，把教师队伍建设作为基础工作，健全中国特色教师教育体系，提升教师教书育人能力，提高教师政治地位、社会地位、职业地位，不断优化教师管理和资源配置，营造全社会尊师重教的浓厚氛围，让教师成为全社会最受尊重和令人羡慕的职业之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以下句子填入画横线处，最恰当的是（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A、经师易求，人师难得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B、国将兴，必贵师而重傅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C、桃李不言，下自成蹊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D、师也者，教之以事而喻诸德者也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将以下句子重新排列，顺序最恰当的是（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①与此同时，网络也给未成年人保护带来一些隐患。</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②对广大未成年人来说，网络为他们开启了一个全新的世界，能帮他们更好学习知识、开阔眼界。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③现实生活中，未成年人因沉迷网络而荒废学业、出现打赏纠纷的新闻不时见诸媒体，更突显了加强未成年人网络保护的重要性。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④作为在互联网时代出生和成长的一代人，未成年人的日常生活与网络息息相关。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A、②①③④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B、②④①③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C、④②①③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D、④③①②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从光明科学城到南沙科学城，从横琴粤澳深度合作区到河套深港科技创新合作区······近年来，高端科研资源在粤港澳大湾区加速汇聚，推动粤港澳大湾区国际科技创新中心建设不断取得新进展。目前，广东已初步构建起以鹏城实验室、广州实验室为引领的高水平多层次实验室体系，散裂中子源、强流重离子加速器装置等一批重大科技基础设施也相继落成，世界一流的重大科技基础设施集群正在粤港澳大湾区加速成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下列选项最适合作为这段文字标题的是（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A、粤港澳大湾区“软硬联通”加速推进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B、粤港澳大湾区基础设施建设稳步推进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C、粤港澳大湾区建设纵深推进动能澎湃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D、粤港澳大湾区科技设施集群加速成型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公园功能的拓展，需要规划先行。一方面要精准定位公园的基本功能，充分考虑公园周边居民的功能需求，将周边居民日常生活和工作引入公园。另一方面要强化公众参与的理念，让居民参与到公园建设前、建设中、建设后的全过程。</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对这段文字理解准确的是（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A、公园建设过程中应当了解居民的功能需求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B、公园必须满足全市居民的日常生活和工作需求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C、公众参与公园建设有助于提升公园建设效率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D、应根据周边居民的需要不断拓展公园的功能区域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构建高质量充电基础设施体系，首要在于</w:t>
      </w:r>
      <w:r>
        <w:rPr>
          <w:rFonts w:hint="default" w:ascii="Helvetica" w:hAnsi="Helvetica" w:eastAsia="Helvetica" w:cs="Helvetica"/>
          <w:i w:val="0"/>
          <w:iCs w:val="0"/>
          <w:caps w:val="0"/>
          <w:color w:val="333333"/>
          <w:spacing w:val="0"/>
          <w:sz w:val="21"/>
          <w:szCs w:val="21"/>
          <w:u w:val="single"/>
          <w:shd w:val="clear" w:fill="FFFFFF"/>
        </w:rPr>
        <w:t>                    </w:t>
      </w:r>
      <w:r>
        <w:rPr>
          <w:rFonts w:hint="default" w:ascii="Helvetica" w:hAnsi="Helvetica" w:eastAsia="Helvetica" w:cs="Helvetica"/>
          <w:i w:val="0"/>
          <w:iCs w:val="0"/>
          <w:caps w:val="0"/>
          <w:color w:val="333333"/>
          <w:spacing w:val="0"/>
          <w:sz w:val="21"/>
          <w:szCs w:val="21"/>
          <w:shd w:val="clear" w:fill="FFFFFF"/>
        </w:rPr>
        <w:t>，更好满足不同领域、不同场景充电需求。城际之间应打造有效满足新能源汽车中长途出行需求的城际充电设施系统。农村地区应确保充电基础设施在适宜使用新能源汽车的区域有效覆盖。部分城市中心城区公共充电基础设施服务半径已与加油站相当，但城市周边、热门公园景区等依然需要加强建设力度。</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以下句子填入画横线处，最恰当的是（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A、加强技术研发攻关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B、全面扩大覆盖区域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C、增加充电设施数量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D、优化完善网络布局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气候变化是全人类共同面临的严峻挑战。当前，全球气候变暖正在加速演进，极端天气气候事件呈现频发、强发、广发特征，严重影响全球经济社会和自然生态环境。世界气象组织日前指出，2023年10月是全球有记录以来最热的10月。同时，由于厄尔尼诺现象将至少持续至明年4月，大大增加了出现破纪录高温的可能性。</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根据以上文段，以下说法正确的是（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A、厄尔尼诺现象呈现出频发、强发、广发的特征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B、气候变化会对生态环境和人类经济社会造成影响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C、根据世界气象组织的记录，10月份一般是最热的月份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D、全球气温的反复变化是极端天气气候事件的主要原因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将以下句子重新排列，顺序最恰当的是（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①近代以来，特别是新中国成立后，我国工业由小到大、由弱到强。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②工业文化资源，既包括历史上人类工业活动产生的艺术品和手工艺品、遗址遗迹、文献出版物等，也包括工业化产生的各类人文资源。</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③这一波澜壮阔的发展历程，催生了实业报国等影响至今的思潮，形成了大量工业遗产，铸就了大庆精神、工匠精神等一批宝贵的精神财富。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④回溯既往，从一系列遗址遗迹和古代典籍的记录中，可以窥见中国古代工业文化的一角。</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⑤如今，我们构建起门类齐全、世界上最完整的现代工业体系。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⑥这些工业文化资源，是党团结带领全国各族人民开拓进取、不懈奋斗的生动写照，具有丰富的历史价值、文化价值和艺术价值。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A、①⑤③②④⑥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B、①⑤④③②⑥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C、②④①⑤③⑥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D、②⑥④①⑤③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三、数量关系。本部分包括数字推理和数学运算两部分，每道题呈现一段表述数字关系的文字，要求你迅速、准确地计算出答案。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162175" cy="2143125"/>
            <wp:effectExtent l="0" t="0" r="9525" b="9525"/>
            <wp:docPr id="78" name="图片 5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51" descr="IMG_256"/>
                    <pic:cNvPicPr>
                      <a:picLocks noChangeAspect="1"/>
                    </pic:cNvPicPr>
                  </pic:nvPicPr>
                  <pic:blipFill>
                    <a:blip r:embed="rId4"/>
                    <a:stretch>
                      <a:fillRect/>
                    </a:stretch>
                  </pic:blipFill>
                  <pic:spPr>
                    <a:xfrm>
                      <a:off x="0" y="0"/>
                      <a:ext cx="2162175" cy="21431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1，11，23，33，45，55，67，（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A、66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C、73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71450" cy="314325"/>
            <wp:effectExtent l="0" t="0" r="0" b="9525"/>
            <wp:docPr id="81" name="图片 5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52" descr="IMG_257"/>
                    <pic:cNvPicPr>
                      <a:picLocks noChangeAspect="1"/>
                    </pic:cNvPicPr>
                  </pic:nvPicPr>
                  <pic:blipFill>
                    <a:blip r:embed="rId5"/>
                    <a:stretch>
                      <a:fillRect/>
                    </a:stretch>
                  </pic:blipFill>
                  <pic:spPr>
                    <a:xfrm>
                      <a:off x="0" y="0"/>
                      <a:ext cx="171450"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04775" cy="314325"/>
            <wp:effectExtent l="0" t="0" r="9525" b="9525"/>
            <wp:docPr id="80" name="图片 5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53" descr="IMG_258"/>
                    <pic:cNvPicPr>
                      <a:picLocks noChangeAspect="1"/>
                    </pic:cNvPicPr>
                  </pic:nvPicPr>
                  <pic:blipFill>
                    <a:blip r:embed="rId6"/>
                    <a:stretch>
                      <a:fillRect/>
                    </a:stretch>
                  </pic:blipFill>
                  <pic:spPr>
                    <a:xfrm>
                      <a:off x="0" y="0"/>
                      <a:ext cx="104775"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71450" cy="314325"/>
            <wp:effectExtent l="0" t="0" r="0" b="9525"/>
            <wp:docPr id="79" name="图片 5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54" descr="IMG_259"/>
                    <pic:cNvPicPr>
                      <a:picLocks noChangeAspect="1"/>
                    </pic:cNvPicPr>
                  </pic:nvPicPr>
                  <pic:blipFill>
                    <a:blip r:embed="rId7"/>
                    <a:stretch>
                      <a:fillRect/>
                    </a:stretch>
                  </pic:blipFill>
                  <pic:spPr>
                    <a:xfrm>
                      <a:off x="0" y="0"/>
                      <a:ext cx="171450"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09550" cy="314325"/>
            <wp:effectExtent l="0" t="0" r="0" b="9525"/>
            <wp:docPr id="76" name="图片 5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55" descr="IMG_260"/>
                    <pic:cNvPicPr>
                      <a:picLocks noChangeAspect="1"/>
                    </pic:cNvPicPr>
                  </pic:nvPicPr>
                  <pic:blipFill>
                    <a:blip r:embed="rId8"/>
                    <a:stretch>
                      <a:fillRect/>
                    </a:stretch>
                  </pic:blipFill>
                  <pic:spPr>
                    <a:xfrm>
                      <a:off x="0" y="0"/>
                      <a:ext cx="209550" cy="3143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    ），</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76225" cy="314325"/>
            <wp:effectExtent l="0" t="0" r="9525" b="9525"/>
            <wp:docPr id="68" name="图片 5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56" descr="IMG_261"/>
                    <pic:cNvPicPr>
                      <a:picLocks noChangeAspect="1"/>
                    </pic:cNvPicPr>
                  </pic:nvPicPr>
                  <pic:blipFill>
                    <a:blip r:embed="rId9"/>
                    <a:stretch>
                      <a:fillRect/>
                    </a:stretch>
                  </pic:blipFill>
                  <pic:spPr>
                    <a:xfrm>
                      <a:off x="0" y="0"/>
                      <a:ext cx="27622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9550" cy="314325"/>
            <wp:effectExtent l="0" t="0" r="0" b="9525"/>
            <wp:docPr id="69" name="图片 5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57" descr="IMG_262"/>
                    <pic:cNvPicPr>
                      <a:picLocks noChangeAspect="1"/>
                    </pic:cNvPicPr>
                  </pic:nvPicPr>
                  <pic:blipFill>
                    <a:blip r:embed="rId10"/>
                    <a:stretch>
                      <a:fillRect/>
                    </a:stretch>
                  </pic:blipFill>
                  <pic:spPr>
                    <a:xfrm>
                      <a:off x="0" y="0"/>
                      <a:ext cx="2095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09550" cy="314325"/>
            <wp:effectExtent l="0" t="0" r="0" b="9525"/>
            <wp:docPr id="65" name="图片 5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58" descr="IMG_263"/>
                    <pic:cNvPicPr>
                      <a:picLocks noChangeAspect="1"/>
                    </pic:cNvPicPr>
                  </pic:nvPicPr>
                  <pic:blipFill>
                    <a:blip r:embed="rId11"/>
                    <a:stretch>
                      <a:fillRect/>
                    </a:stretch>
                  </pic:blipFill>
                  <pic:spPr>
                    <a:xfrm>
                      <a:off x="0" y="0"/>
                      <a:ext cx="209550"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76225" cy="314325"/>
            <wp:effectExtent l="0" t="0" r="9525" b="9525"/>
            <wp:docPr id="66" name="图片 5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59" descr="IMG_264"/>
                    <pic:cNvPicPr>
                      <a:picLocks noChangeAspect="1"/>
                    </pic:cNvPicPr>
                  </pic:nvPicPr>
                  <pic:blipFill>
                    <a:blip r:embed="rId12"/>
                    <a:stretch>
                      <a:fillRect/>
                    </a:stretch>
                  </pic:blipFill>
                  <pic:spPr>
                    <a:xfrm>
                      <a:off x="0" y="0"/>
                      <a:ext cx="27622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76225" cy="314325"/>
            <wp:effectExtent l="0" t="0" r="9525" b="9525"/>
            <wp:docPr id="67" name="图片 6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0" descr="IMG_265"/>
                    <pic:cNvPicPr>
                      <a:picLocks noChangeAspect="1"/>
                    </pic:cNvPicPr>
                  </pic:nvPicPr>
                  <pic:blipFill>
                    <a:blip r:embed="rId13"/>
                    <a:stretch>
                      <a:fillRect/>
                    </a:stretch>
                  </pic:blipFill>
                  <pic:spPr>
                    <a:xfrm>
                      <a:off x="0" y="0"/>
                      <a:ext cx="276225" cy="3143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21.98，18.77，17.49，14.55，（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A、12.26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B、13.66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C、14.26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D、15.66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5，-7，16，-50，202，（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B、-1012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C、1122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D、-1122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档案室需要整理300份档案，要求每天整理的档案数量相同，且规定了完成的期限。如果要提前一天完成，那么每天需要多整理10份档案。则规定的期限为（    ）天。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D、9</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某家政公司承诺以低于市场价20％的价格为小区业主提供服务。如果有业主向该公司支付了服务费4000元，则与市场价相比优惠了（    ）元。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C、800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甲、乙、丙三艘船在海上航行。某一时刻，甲观测到乙位于它的北偏西</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228600" cy="142875"/>
            <wp:effectExtent l="0" t="0" r="0" b="9525"/>
            <wp:docPr id="70" name="图片 6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61" descr="IMG_266"/>
                    <pic:cNvPicPr>
                      <a:picLocks noChangeAspect="1"/>
                    </pic:cNvPicPr>
                  </pic:nvPicPr>
                  <pic:blipFill>
                    <a:blip r:embed="rId14"/>
                    <a:stretch>
                      <a:fillRect/>
                    </a:stretch>
                  </pic:blipFill>
                  <pic:spPr>
                    <a:xfrm>
                      <a:off x="0" y="0"/>
                      <a:ext cx="228600" cy="14287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方向，甲、乙相距6千米；甲观测到丙位于它的正西方向，甲、丙相距6千米，则乙与丙之间的距离为（    ）千米。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某企业在展销会上销售甲、乙两种产品。已知甲产品的库存比乙产品多100件，展销会结束后，甲产品全部售完，乙产品售出库存的60%，两种产品共售出1260件，则甲、乙两种产品原有总库存（    ）件。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A、1450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B、1500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C、1550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D、1600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只有在星期六，小王才会去图书馆。如果某年3月小王一共有5天去过图书馆，则当年4月1日可能是（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A、星期二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B、星期三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C、星期五</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D、星期六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某高校中文系计划从3名男生和3名女生中选派4名学生参加暑期支教活动。如果选派的女生不少于2名，则选派方案共有（    ）种。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B、8</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甲、乙、丙3人参加专业测试，考试包含10道题，答对每题得10分，不答或答错不得分。已知每道题3人中至少有2人答对，没有人得100分且任意2人总分都不相同。则最多有（    ）道题3人都答对。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某个障碍跑项目需要在100米长的跑道上布置障碍（起点和终点均不布置）。如果从起点开始，每隔4米布置一个甲障碍，每隔6米布置一个乙障碍，甲、乙障碍的重合点则不布置甲障碍。则跑道上总共布置（    ）个甲障碍。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小李从山脚开始登顶，匀速走了1小时后到达一个凉亭，并在凉亭休息了半小时。继续走500米后，恰好完成登顶路程的一半。从山顶沿原路匀速返回时，他走了1小时又到了这个凉亭，继续走半小时回到了山脚。则登顶路程为（    ）米。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B、3000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C、3600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D、4000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社区计划组织志愿者为社区内的独居老人提供服务。按已有志愿者的数量，如果每位志愿者服务10位老人，则有5位老人无人提供服务；如果增加2位志愿者，则每位志愿者最多服务8位老人就能为所有老人提供服务。那么该社区最多有（    ）位独居老人。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D、65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四、判断推理。本部分包括图形推理、类比推理与逻辑判断三种类型的试题，在四个选项中选出一个最恰当的答案。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下列选项中最符合所给图形规律的是（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215640" cy="3641725"/>
            <wp:effectExtent l="0" t="0" r="3810" b="15875"/>
            <wp:docPr id="74" name="图片 6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62" descr="IMG_267"/>
                    <pic:cNvPicPr>
                      <a:picLocks noChangeAspect="1"/>
                    </pic:cNvPicPr>
                  </pic:nvPicPr>
                  <pic:blipFill>
                    <a:blip r:embed="rId15"/>
                    <a:stretch>
                      <a:fillRect/>
                    </a:stretch>
                  </pic:blipFill>
                  <pic:spPr>
                    <a:xfrm>
                      <a:off x="0" y="0"/>
                      <a:ext cx="3215640" cy="36417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下列选项中最符合所给图形规律的是（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579620" cy="2612390"/>
            <wp:effectExtent l="0" t="0" r="11430" b="16510"/>
            <wp:docPr id="73" name="图片 6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63" descr="IMG_268"/>
                    <pic:cNvPicPr>
                      <a:picLocks noChangeAspect="1"/>
                    </pic:cNvPicPr>
                  </pic:nvPicPr>
                  <pic:blipFill>
                    <a:blip r:embed="rId16"/>
                    <a:stretch>
                      <a:fillRect/>
                    </a:stretch>
                  </pic:blipFill>
                  <pic:spPr>
                    <a:xfrm>
                      <a:off x="0" y="0"/>
                      <a:ext cx="4579620" cy="261239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如图所示，正方形卡片沿对角线折叠两次后得到一个三角形，沿着虚线裁剪后，再展开卡片，则展开的图形最有可能是（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864610" cy="2202815"/>
            <wp:effectExtent l="0" t="0" r="2540" b="6985"/>
            <wp:docPr id="71" name="图片 64"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64" descr="IMG_269"/>
                    <pic:cNvPicPr>
                      <a:picLocks noChangeAspect="1"/>
                    </pic:cNvPicPr>
                  </pic:nvPicPr>
                  <pic:blipFill>
                    <a:blip r:embed="rId17"/>
                    <a:stretch>
                      <a:fillRect/>
                    </a:stretch>
                  </pic:blipFill>
                  <pic:spPr>
                    <a:xfrm>
                      <a:off x="0" y="0"/>
                      <a:ext cx="3864610" cy="220281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下图为给定的立体图形，从任一角度看，下列选项最不可能是该立体图形视图的是（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335145" cy="2206625"/>
            <wp:effectExtent l="0" t="0" r="8255" b="3175"/>
            <wp:docPr id="75" name="图片 65"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65" descr="IMG_270"/>
                    <pic:cNvPicPr>
                      <a:picLocks noChangeAspect="1"/>
                    </pic:cNvPicPr>
                  </pic:nvPicPr>
                  <pic:blipFill>
                    <a:blip r:embed="rId18"/>
                    <a:stretch>
                      <a:fillRect/>
                    </a:stretch>
                  </pic:blipFill>
                  <pic:spPr>
                    <a:xfrm>
                      <a:off x="0" y="0"/>
                      <a:ext cx="4335145" cy="22066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下列立体图形，最不可能由两个左侧立体图形拼接成的是（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23815" cy="1366520"/>
            <wp:effectExtent l="0" t="0" r="635" b="5080"/>
            <wp:docPr id="72" name="图片 66"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66" descr="IMG_271"/>
                    <pic:cNvPicPr>
                      <a:picLocks noChangeAspect="1"/>
                    </pic:cNvPicPr>
                  </pic:nvPicPr>
                  <pic:blipFill>
                    <a:blip r:embed="rId19"/>
                    <a:stretch>
                      <a:fillRect/>
                    </a:stretch>
                  </pic:blipFill>
                  <pic:spPr>
                    <a:xfrm>
                      <a:off x="0" y="0"/>
                      <a:ext cx="5123815" cy="136652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A、A</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B、B</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C、C</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D、D</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如果某地不禁止在鱼类繁衍季节捕鱼，当地的鱼类资源就会枯竭。如果鱼类资源枯竭了，当地渔民的渔业生涯就会终结。只有鱼类资源良性循环，渔民的收入才能得到保障。</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由此可以推出（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A、如果某地的鱼类资源没有枯竭，那么当地渔民的收入就能得到保障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B、如果某地禁止在鱼类繁衍季节捕鱼，那么当地渔民的收入就能得到保障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C、如果某地渔民的渔业生涯没有终结，那么当地一定禁止在鱼类繁衍季节捕鱼</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D、如果某地渔民的收入没有得到保障，那么当地的鱼类资源一定不能良性循环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如今，越来越多的消费者习惯在第三方平台查看商家的好评率与他人对商家的具体评价，再作出消费选择。一直以来，甲餐厅的好评率始终略高于乙餐厅，但是乙餐厅的日营业额却远远超过甲餐厅。</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下列选项如果为真，最能解释这一现象的是（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A、与乙餐厅相比，甲餐厅有更多的常客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B、乙餐厅的人均消费金额远高于甲餐厅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C、甲餐厅无法为消费者提供免费停车服务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D、许多消费者在平台上表达了对乙餐厅菜品的喜爱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过去，直播带货中虚假宣传、销售假冒伪劣产品等违法现象层出不穷。最近，针对直播“乱象”，相关部门拓宽了消费者的投诉渠道，因此，直播带货中违法现象将有所减少。</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要使上述推理成立，需要补充的前提条件是（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A、拓宽消费者投诉渠道有助于遏制直播带货中的违法现象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B、投诉能促使直播带货平台严格把关上架产品的质量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C、从事直播带货经营活动需要承担相应的法律责任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D、所有消费者都能准确识别侵权行为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去年9月起，某高校图书馆开设了通宵学习室。该学习室受到许多学生的欢迎，在4个月后，由于使用人数大幅减少，图书馆关闭了通宵学习室。</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以下各项如果为真，最能解释这一现象的是（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A、许多学生认为，通宵学习不可持续</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B、通宵学习室座位少，能容纳的学生有限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C、图书馆需要为通宵学习室配备专门的管理人员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D、通宵学习的学生大多在备考12月的研究生入学考试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单位派出小李、小王、小杨、小张四人参加技能比赛。小李和小王的得分之和大于小杨和小张的得分之和，小李和小张的得分之和大于小王和小杨的得分之和，小王和小张的得分之和大于小李和小杨的得分之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由此可以推出，四个人中得分最低的是（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B、小王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C、小杨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D、小张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对于要不要读《红楼梦》，许多学者认为：读《红楼梦》有助于了解中国传统文化，因此年轻人都应该读《红楼梦》。</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以下属于这一推论暗含前提的是（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A、《红楼梦》是中国古典文学著作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B、年轻人都应该了解中国传统文化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C、大部分学者都读过《红楼梦》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D、《红楼梦》与中国文化相辅相成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水火是无情的，人不是水火，所以人不是无情的。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下列选项所犯的逻辑错误与题干最相似的是（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A、所有羊都是白色的，羊毛是白色的，所以羊毛是羊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B、蛋糕都是圆的，蛋糕里面添加了鸡蛋，所以鸡蛋也是圆的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C、水星是星球，水星上没有人类；地球是星球，所以地球上也没有人类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D、所有不遵守规则的司机都会被处罚，司机小陈一直遵守规则，所以他不会被处罚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甲、乙、丙、丁4人每人都会演奏钢琴、小提琴、二胡和古筝4种乐器中的2种，且每种乐器都有2人会演奏。已知：</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①甲不会演奏钢琴；</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②丁不会演奏古筝；</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③丙不会演奏钢琴和小提琴；</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④乙和丙会演奏的乐器中有且仅有1种相同。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由此可以推出（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A、甲会演奏小提琴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B、甲不会演奏二胡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C、乙会演奏古筝</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D、甲和丁会演奏的乐器完全不同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研究表明，购物行为能够刺激大脑的多个区域，使人们感到幸福。进一步研究发现，在别人身上花的钱占购物支出的比例越大的人，其幸福感越强；但在自己身上花钱的多少和幸福感的关系则不那么明显。有人因此认为，为了提高个人幸福感，在购物时，应该给别人花更多的钱。</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下列选项如果为真，最能反驳这一结论的是（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A、向他人推荐的商品如果受到了他人的认可，人们也会感到幸福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B、如果为他人购买的商品没有受到他人的喜爱，容易使人变得沮丧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C、购物带来的快乐很短暂，个人所面对的困难和压力不会因为购物而消失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D、与他人关系好的人往往更加幸福，且更愿意在购物时为他人花更多的钱</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建设生态公园可以保护生态环境，保护生态环境有利于经济社会的绿色发展，所以建设生态公园有利于经济社会的绿色发展。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以下选项的逻辑结构与题干最为相似的是（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A、诚实的人被尊敬，虚伪的人被疏远，所以，诚实的人不会被疏远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B、运动有利于身体健康，跑步有利于身体健康，所以跑步是一种运动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C、新能源汽车使用清洁能源，使用清洁能源是绿色环保的，所以新能源汽车是绿色环保的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D、正直的人做的事都是合法的，不正直的人才会做不合法的事，所以，做事是否合法是判断正直与否的标准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研究发现，即使经过多次清洗，塑料水壶瓶身的化学成分还是会释放到水中。而在用清洁剂清洗水壶后，不但没有解决问题，水壶内还增加了多种来自清洁剂的化学成分。有人因此认为，与金属材质水壶相比，塑料水壶更不利于人体健康。</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下列选项如果为真，最能质疑上述观点的是：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A、如果使用不当，金属材质水壶可能会生锈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B、在多数情况下，人们不会用清洁剂清洗塑料水壶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C、由于剂量低，这些化学成分无法对人体产生任何影响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D、不同种类的塑料水壶，其瓶身的化学成分具有显著差异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最近，市场上中药材的价格有所下降。据调查，中药材产量的增加是价格下降的主要原因。由于近年来中药材种植业蓬勃发展，而野生中药材的产量没有显著增加，因此中药材产量的增加主要缘于中药材种植业的蓬勃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要使上述推理成立，需要补充的前提条件是：</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A、多种中药材的产量大幅增加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B、一些消费者偏好野生中药材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C、部分中药材已经实现规模化种植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D、中药材只能通过种植和野外采集获得</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成年人读书，既可以提升专业技能，又能提升个人修养；儿童读书，不仅可以开阔视野，还能提高阅读写作能力。所以，读书没有年龄的限制，任何人读书都有好处。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以下选项的逻辑结构与题干最为相似的是（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A、无论是一线还是二、三线城市，有人就有商机。因此，无论在哪一座城市，人口数量都是商业发展的决定性因素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B、冬季家中的温度计，量出来的不只是室内温度，更是民生的“温度”。民众越是费心，越说明政府工作没有用心；民众越是舒心，越体现政府工作的暖心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C、经济工作千头万绪，善于抓住并集中力量解决主要矛盾、关键问题，就能在错综复杂的局面中育新机、开新局。所以，局面越是复杂，越需要团结协力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D、劳动者懂法，可以在个人利益受到侵犯时，运用法律武器维护自身权益；用人单位懂法，可以减少劳动纠纷，使劳动关系更加和谐。所以，懂法对劳动关系双方都是有益的</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团队开展了一项关于预防中风的研究。研究对象分为两组，一组食用低钠盐（约75%的氯化钠和25%的氯化钾），一组食用普通盐（约97%的氯化钠）。在5年的跟踪调查中发现，食用低钠盐的群体，其中风发病率显著低于食用普通盐的群体。因此，减少钠的摄入有助于预防中风。</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以下各项如果为真，最不能支持这一结论的是（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A、食用低钠盐的中风患者的死亡率远低于食用普通盐的中风患者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B、两组研究对象在性别、年龄等方面不存在明显差异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C、研究期间，两组研究对象每日摄入的盐含量接近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D、摄入氯化钾不会影响中风发病率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为降低景区人流量负荷，某景区从原先的窗口售票制改为网上预约制，每个时段限量放票，游客仅可在网上预约的时段进入景区。实行网上预约制一段时间后，许多时间段里景区依然拥挤，游客的旅游体验并未得到明显改善。</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以下各项如果为真，最不能解释这一现象的是（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A、该景区各时段放票数量过多，超过了景区承载能力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B、该景区门票预约系统操作繁琐，许多游客反映预约体验不佳</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C、该景区未规定游客离开的时间，许多游客在景区内长时间逗留</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D、游客预约的时段过于集中，一些时段人满为患、一些时段无人预约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五、科学推理。每道题给出文字或图表信息，要求你在此基础上，用基本科学知识进行推理判断，从4个备选项中选出最合理的1项。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有一种传统的制墨工艺：把冷碟子放在蜡烛火焰的上方，蜡烛燃烧一段时间后，冷碟子底部会有黑色物质生成，黑色物质经过进一步加工可以变成墨，则以下说法有误的是（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447800" cy="1323975"/>
            <wp:effectExtent l="0" t="0" r="0" b="9525"/>
            <wp:docPr id="77" name="图片 67"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67" descr="IMG_272"/>
                    <pic:cNvPicPr>
                      <a:picLocks noChangeAspect="1"/>
                    </pic:cNvPicPr>
                  </pic:nvPicPr>
                  <pic:blipFill>
                    <a:blip r:embed="rId20"/>
                    <a:stretch>
                      <a:fillRect/>
                    </a:stretch>
                  </pic:blipFill>
                  <pic:spPr>
                    <a:xfrm>
                      <a:off x="0" y="0"/>
                      <a:ext cx="1447800" cy="13239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A、所使用的蜡烛由该黑色物质和其他材料混合制成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B、该黑色物质具有还原性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C、冷碟子会影响蜡烛燃烧过程中氧气的补充，导致蜡烛不完全燃烧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D、冷碟子能冷却底部的黑色物质，使其无法燃烧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根据某地等高线地形图，下列说法最不可能属实的是（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810000" cy="2228850"/>
            <wp:effectExtent l="0" t="0" r="0" b="0"/>
            <wp:docPr id="85" name="图片 68"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68" descr="IMG_273"/>
                    <pic:cNvPicPr>
                      <a:picLocks noChangeAspect="1"/>
                    </pic:cNvPicPr>
                  </pic:nvPicPr>
                  <pic:blipFill>
                    <a:blip r:embed="rId21"/>
                    <a:stretch>
                      <a:fillRect/>
                    </a:stretch>
                  </pic:blipFill>
                  <pic:spPr>
                    <a:xfrm>
                      <a:off x="0" y="0"/>
                      <a:ext cx="3810000" cy="22288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A、图中A处是海拔400米以上露营的最佳选择地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B、图中B处发展耕作业比发展林业更合适</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C、图中C处可能发育河流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D、图中D处适合攀岩活动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如图1所示，物体M在力F的作用下开始移动，其F-t图像、v-t图像如图2、图3所示，则下列说法正确的是（    ）。</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10175" cy="1781175"/>
            <wp:effectExtent l="0" t="0" r="9525" b="9525"/>
            <wp:docPr id="86" name="图片 69"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69" descr="IMG_274"/>
                    <pic:cNvPicPr>
                      <a:picLocks noChangeAspect="1"/>
                    </pic:cNvPicPr>
                  </pic:nvPicPr>
                  <pic:blipFill>
                    <a:blip r:embed="rId22"/>
                    <a:stretch>
                      <a:fillRect/>
                    </a:stretch>
                  </pic:blipFill>
                  <pic:spPr>
                    <a:xfrm>
                      <a:off x="0" y="0"/>
                      <a:ext cx="5210175" cy="17811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A、在0-2s，力F对物体做正功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B、在4-6s，物体所受的摩擦力不做功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C、在4-6s，物体所受的合外力大于零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D、物体所受的摩擦力在2-4s做的功与在6-8s做的功相等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某汽车设置了灯光关闭提醒系统。当汽车熄火后，开关</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3350" cy="161925"/>
            <wp:effectExtent l="0" t="0" r="0" b="8255"/>
            <wp:docPr id="84" name="图片 70"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70" descr="IMG_275"/>
                    <pic:cNvPicPr>
                      <a:picLocks noChangeAspect="1"/>
                    </pic:cNvPicPr>
                  </pic:nvPicPr>
                  <pic:blipFill>
                    <a:blip r:embed="rId23"/>
                    <a:stretch>
                      <a:fillRect/>
                    </a:stretch>
                  </pic:blipFill>
                  <pic:spPr>
                    <a:xfrm>
                      <a:off x="0" y="0"/>
                      <a:ext cx="133350"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闭合。此时，若灯光未关闭，则开关</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3350" cy="161925"/>
            <wp:effectExtent l="0" t="0" r="0" b="8255"/>
            <wp:docPr id="58" name="图片 71"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71" descr="IMG_276"/>
                    <pic:cNvPicPr>
                      <a:picLocks noChangeAspect="1"/>
                    </pic:cNvPicPr>
                  </pic:nvPicPr>
                  <pic:blipFill>
                    <a:blip r:embed="rId24"/>
                    <a:stretch>
                      <a:fillRect/>
                    </a:stretch>
                  </pic:blipFill>
                  <pic:spPr>
                    <a:xfrm>
                      <a:off x="0" y="0"/>
                      <a:ext cx="133350"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断开，仪表台的提示灯亮起，蜂鸣器发出警示声；若灯光关闭，则开关</w:t>
      </w: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33350" cy="161925"/>
            <wp:effectExtent l="0" t="0" r="0" b="8255"/>
            <wp:docPr id="64" name="图片 72"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72" descr="IMG_277"/>
                    <pic:cNvPicPr>
                      <a:picLocks noChangeAspect="1"/>
                    </pic:cNvPicPr>
                  </pic:nvPicPr>
                  <pic:blipFill>
                    <a:blip r:embed="rId24"/>
                    <a:stretch>
                      <a:fillRect/>
                    </a:stretch>
                  </pic:blipFill>
                  <pic:spPr>
                    <a:xfrm>
                      <a:off x="0" y="0"/>
                      <a:ext cx="133350" cy="161925"/>
                    </a:xfrm>
                    <a:prstGeom prst="rect">
                      <a:avLst/>
                    </a:prstGeom>
                    <a:noFill/>
                    <a:ln w="9525">
                      <a:noFill/>
                    </a:ln>
                  </pic:spPr>
                </pic:pic>
              </a:graphicData>
            </a:graphic>
          </wp:inline>
        </w:drawing>
      </w:r>
      <w:r>
        <w:rPr>
          <w:rFonts w:hint="default" w:ascii="Helvetica" w:hAnsi="Helvetica" w:eastAsia="Helvetica" w:cs="Helvetica"/>
          <w:i w:val="0"/>
          <w:iCs w:val="0"/>
          <w:caps w:val="0"/>
          <w:color w:val="333333"/>
          <w:spacing w:val="0"/>
          <w:sz w:val="21"/>
          <w:szCs w:val="21"/>
          <w:shd w:val="clear" w:fill="FFFFFF"/>
        </w:rPr>
        <w:t>闭合，仪表台的提示灯熄灭，蜂鸣器停止警示声。则下列选项最有可能正确反映该系统电路图的是（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857500" cy="2066925"/>
            <wp:effectExtent l="0" t="0" r="0" b="9525"/>
            <wp:docPr id="60" name="图片 73"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73" descr="IMG_278"/>
                    <pic:cNvPicPr>
                      <a:picLocks noChangeAspect="1"/>
                    </pic:cNvPicPr>
                  </pic:nvPicPr>
                  <pic:blipFill>
                    <a:blip r:embed="rId25"/>
                    <a:stretch>
                      <a:fillRect/>
                    </a:stretch>
                  </pic:blipFill>
                  <pic:spPr>
                    <a:xfrm>
                      <a:off x="0" y="0"/>
                      <a:ext cx="2857500" cy="20669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857500" cy="2066925"/>
            <wp:effectExtent l="0" t="0" r="0" b="9525"/>
            <wp:docPr id="63" name="图片 74"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74" descr="IMG_279"/>
                    <pic:cNvPicPr>
                      <a:picLocks noChangeAspect="1"/>
                    </pic:cNvPicPr>
                  </pic:nvPicPr>
                  <pic:blipFill>
                    <a:blip r:embed="rId26"/>
                    <a:stretch>
                      <a:fillRect/>
                    </a:stretch>
                  </pic:blipFill>
                  <pic:spPr>
                    <a:xfrm>
                      <a:off x="0" y="0"/>
                      <a:ext cx="2857500" cy="20669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857500" cy="1771650"/>
            <wp:effectExtent l="0" t="0" r="0" b="0"/>
            <wp:docPr id="53" name="图片 75"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75" descr="IMG_280"/>
                    <pic:cNvPicPr>
                      <a:picLocks noChangeAspect="1"/>
                    </pic:cNvPicPr>
                  </pic:nvPicPr>
                  <pic:blipFill>
                    <a:blip r:embed="rId27"/>
                    <a:stretch>
                      <a:fillRect/>
                    </a:stretch>
                  </pic:blipFill>
                  <pic:spPr>
                    <a:xfrm>
                      <a:off x="0" y="0"/>
                      <a:ext cx="2857500" cy="17716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2857500" cy="2009775"/>
            <wp:effectExtent l="0" t="0" r="0" b="9525"/>
            <wp:docPr id="52" name="图片 76"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76" descr="IMG_281"/>
                    <pic:cNvPicPr>
                      <a:picLocks noChangeAspect="1"/>
                    </pic:cNvPicPr>
                  </pic:nvPicPr>
                  <pic:blipFill>
                    <a:blip r:embed="rId28"/>
                    <a:stretch>
                      <a:fillRect/>
                    </a:stretch>
                  </pic:blipFill>
                  <pic:spPr>
                    <a:xfrm>
                      <a:off x="0" y="0"/>
                      <a:ext cx="2857500" cy="20097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胰岛素是一种蛋白质，可以用于治疗糖尿病。以下有关胰岛素的说法，正确的是（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A、胰岛素能够抑制血糖分解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B、人体中的胰岛素由肝脏分泌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C、一般通过口服胰岛素治疗糖尿病</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D、血液中的胰岛素浓度过高会导致低血糖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六、资料分析。第六部分 资料分析。 所给出的图、表、文字或综合性资料均有若干个问题要你回答。你应根据资料提供的信息进行分析、比较、计算和判断处理。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党的二十大报告强调，教育、科技、人才是全面建设社会主义现代化国家的基础性、战略性支撑。近年来，广东紧紧围绕制造业当家、聚焦高质量发展，大力实施制造业当家技能人才支撑工程，加快建设一支规模宏大的知识型、技能型、创新型技能人才队伍。2023年，全省技能人才总量达1934万人，其中高技能人才657万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为推动广东技工与广东制造共同成长，近年来，广东紧紧围绕壮大20个战略性产业集群，紧密对接产业升级和技术变革趋势，开展新产业工人职业技能提升工程，培育掌握新技术的产业新工匠。广东充分发挥经济大省、制造业大省的优势，将产教融合、校企合作融入技能人才培养全过程，打造了全国最大的技工教育体系。</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2023年，广东共有技工院校148所，实现21个地级以上市技师学院全覆盖；在校生65万人，占全国的七分之一；面向先进制造业、战略性新兴产业、现代服务业建设233个省级重点专业和50个特色专业；与100多家世界500强企业及国内800多家大型企业开展深度合作，实现教学与企业岗位无缝对接，精准培养产业急需人才。技工院校招生人数、教研成果、技能竞赛、就业率等九项主要指标均居全国第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2022年世界技能大赛，广东共有11位选手代表国家参赛，获7金、1银、1铜和2个优胜奖，金牌数占全国三分之一，金牌数及奖牌数连续4届位居全国第一，展现了广东技能人才的精湛技能和职业风采。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2023年广东高技能人才是全省技能人才总量的（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2023年，全国技工院校在校生人数（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A、小于400万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B、在400万到500万之间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C、在500万到600万之间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D、大于600万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关于广东技能人才培养，以下表述不准确的是（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A、注重产教融合、校企合作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B、实现教学与企业岗位无缝对接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C、精准培养产业急需人才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D、强调提升全体学生技能竞赛成绩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以下不属于广东建设省级重点专业和特色专业所面向产业的是（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A、传统手工业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B、先进制造业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C、战略性新兴产业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D、现代服务业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关于广东技工，以下说法有误的是（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A、2023年，广东有全国最大的技工教育体系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B、2023年，广东技工院校教研成果居全国第一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C、2023年，广东技工院校与233家世界500强企业开展合作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D、2022年世界技能大赛，广东金牌数位居全国第一</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2022年，全球对外直接投资流量1.5万亿美元，比上年下降14%。其中发达经济体对外直接投资1.03万亿美元，比上年下降17.2%；发展中经济体对外直接投资4589亿美元，比上年下降5.4%。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2022年，中国对外直接投资流量1631.2亿美元，与上年历史次高值相比，下降8.8%，占全球份额的10.9%。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020310" cy="2792095"/>
            <wp:effectExtent l="0" t="0" r="8890" b="8255"/>
            <wp:docPr id="62" name="图片 77"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77" descr="IMG_282"/>
                    <pic:cNvPicPr>
                      <a:picLocks noChangeAspect="1"/>
                    </pic:cNvPicPr>
                  </pic:nvPicPr>
                  <pic:blipFill>
                    <a:blip r:embed="rId29"/>
                    <a:stretch>
                      <a:fillRect/>
                    </a:stretch>
                  </pic:blipFill>
                  <pic:spPr>
                    <a:xfrm>
                      <a:off x="0" y="0"/>
                      <a:ext cx="5020310" cy="279209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中国对外直接投资涵盖了国民经济的18个行业大类，其中流向租赁和商务服务、制造、金融、批发和零售、采矿、交通运输/仓储和邮政业的投资均超过百亿美元，租赁和商务服务业保持首位，制造业由上年第三位上升至第二位。</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464175" cy="4535170"/>
            <wp:effectExtent l="0" t="0" r="3175" b="17780"/>
            <wp:docPr id="61" name="图片 78"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78" descr="IMG_283"/>
                    <pic:cNvPicPr>
                      <a:picLocks noChangeAspect="1"/>
                    </pic:cNvPicPr>
                  </pic:nvPicPr>
                  <pic:blipFill>
                    <a:blip r:embed="rId30"/>
                    <a:stretch>
                      <a:fillRect/>
                    </a:stretch>
                  </pic:blipFill>
                  <pic:spPr>
                    <a:xfrm>
                      <a:off x="0" y="0"/>
                      <a:ext cx="5464175" cy="453517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2013-2022年，中国对外直接投资流量年均增加约（    ）亿美元。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A、55.3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B、61.4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C、67.5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D、73.6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与2021年相比，2022年中国对外直接投资流量在全球中的占比（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A、增加了不到3个百分点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B、增加了超过3个百分点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C、减少了不到3个百分点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D、减少了超过3个百分点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2022年，中国国民经济的18个行业大类中有（    ）个行业的对外直接投资流量同比有所增加。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C、6</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D、7</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2021年，中国下列行业的对外直接投资流量，从大到小排序正确的是（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A、金融业&gt;租赁和商务服务业&gt;批发和零售业&gt;制造业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B、金融业&gt;租赁和商务服务业&gt;制造业&gt;批发和零售业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C、租赁和商务服务业&gt;制造业&gt;批发和零售业&gt;金融业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D、租赁和商务服务业&gt;批发和零售业&gt;制造业&gt;金融业</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根据资料，下列说法正确的是（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A、截至2022年，中国对外直接投资流量最高的年份是2016年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B、2022年，发展中经济体对外直接投资流量在全球的占比同比有所下降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C、2018-2022年，中国对外直接投资流量累计超过了8000亿美元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D、2021年，科学研究和技术服务业在中国对外直接投资流量中的占比超过4%</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自2022年1月1日《中华人民共和国法律援助法》施行以来，我国法律援助覆盖面不断扩大、服务水平显著提升。据统计，2022年全国法律援助机构共组织办理法律援助案件137万余件，值班律师提供法律帮助95万余件，为1980万余人次提供法律咨询，提供法律咨询人次同比增加约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2022年，G省法律援助机构共组织办理法律援助案件（以下简称G省法律援助案件）195779件，较2021年减少40937件，同比下降17.29%，其中刑事案件133509件（含值班律师法律帮助案件65647件），民事案件61754件，行政案件516件。帮助受援群众212993人。</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861050" cy="1881505"/>
            <wp:effectExtent l="0" t="0" r="6350" b="4445"/>
            <wp:docPr id="59" name="图片 79"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79" descr="IMG_284"/>
                    <pic:cNvPicPr>
                      <a:picLocks noChangeAspect="1"/>
                    </pic:cNvPicPr>
                  </pic:nvPicPr>
                  <pic:blipFill>
                    <a:blip r:embed="rId31"/>
                    <a:stretch>
                      <a:fillRect/>
                    </a:stretch>
                  </pic:blipFill>
                  <pic:spPr>
                    <a:xfrm>
                      <a:off x="0" y="0"/>
                      <a:ext cx="5861050" cy="188150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318125" cy="2835275"/>
            <wp:effectExtent l="0" t="0" r="15875" b="3175"/>
            <wp:docPr id="55" name="图片 80" descr="IMG_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80" descr="IMG_285"/>
                    <pic:cNvPicPr>
                      <a:picLocks noChangeAspect="1"/>
                    </pic:cNvPicPr>
                  </pic:nvPicPr>
                  <pic:blipFill>
                    <a:blip r:embed="rId32"/>
                    <a:stretch>
                      <a:fillRect/>
                    </a:stretch>
                  </pic:blipFill>
                  <pic:spPr>
                    <a:xfrm>
                      <a:off x="0" y="0"/>
                      <a:ext cx="5318125" cy="283527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2022年，G省法律援助案件数量约占全国的（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A、9.2%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B、14.3%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C、19.4%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D、24.5%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2022年，G省平均每件法律援助案件帮助受援群众（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A、小于1.1人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B、在1.1到1.2人之间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C、在1.2到1.3人之间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D、大于1.3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2018-2022年，行政案件在G省法律援助案件中占比最高的年份是（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A、2018年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B、2019年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C、2020年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D、2021年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下列选项最有可能准确反映了2018-2022年间G省法律援助机构办理的相关案件的同比增长率的是（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3619500" cy="1914525"/>
            <wp:effectExtent l="0" t="0" r="0" b="9525"/>
            <wp:docPr id="56" name="图片 81" descr="IMG_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81" descr="IMG_286"/>
                    <pic:cNvPicPr>
                      <a:picLocks noChangeAspect="1"/>
                    </pic:cNvPicPr>
                  </pic:nvPicPr>
                  <pic:blipFill>
                    <a:blip r:embed="rId33"/>
                    <a:stretch>
                      <a:fillRect/>
                    </a:stretch>
                  </pic:blipFill>
                  <pic:spPr>
                    <a:xfrm>
                      <a:off x="0" y="0"/>
                      <a:ext cx="3619500" cy="19145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3619500" cy="1914525"/>
            <wp:effectExtent l="0" t="0" r="0" b="9525"/>
            <wp:docPr id="51" name="图片 82" descr="IMG_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82" descr="IMG_287"/>
                    <pic:cNvPicPr>
                      <a:picLocks noChangeAspect="1"/>
                    </pic:cNvPicPr>
                  </pic:nvPicPr>
                  <pic:blipFill>
                    <a:blip r:embed="rId34"/>
                    <a:stretch>
                      <a:fillRect/>
                    </a:stretch>
                  </pic:blipFill>
                  <pic:spPr>
                    <a:xfrm>
                      <a:off x="0" y="0"/>
                      <a:ext cx="3619500" cy="19145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3619500" cy="1924050"/>
            <wp:effectExtent l="0" t="0" r="0" b="0"/>
            <wp:docPr id="82" name="图片 83" descr="IMG_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83" descr="IMG_288"/>
                    <pic:cNvPicPr>
                      <a:picLocks noChangeAspect="1"/>
                    </pic:cNvPicPr>
                  </pic:nvPicPr>
                  <pic:blipFill>
                    <a:blip r:embed="rId35"/>
                    <a:stretch>
                      <a:fillRect/>
                    </a:stretch>
                  </pic:blipFill>
                  <pic:spPr>
                    <a:xfrm>
                      <a:off x="0" y="0"/>
                      <a:ext cx="3619500" cy="19240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w:t>
      </w: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drawing>
          <wp:inline distT="0" distB="0" distL="114300" distR="114300">
            <wp:extent cx="3619500" cy="1914525"/>
            <wp:effectExtent l="0" t="0" r="0" b="9525"/>
            <wp:docPr id="83" name="图片 84" descr="IMG_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84" descr="IMG_289"/>
                    <pic:cNvPicPr>
                      <a:picLocks noChangeAspect="1"/>
                    </pic:cNvPicPr>
                  </pic:nvPicPr>
                  <pic:blipFill>
                    <a:blip r:embed="rId36"/>
                    <a:stretch>
                      <a:fillRect/>
                    </a:stretch>
                  </pic:blipFill>
                  <pic:spPr>
                    <a:xfrm>
                      <a:off x="0" y="0"/>
                      <a:ext cx="3619500" cy="19145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根据资料，下列说法正确的是（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A、2021年，全国法律援助机构提供法律咨询超1900万人次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B、2022年，值班律师法律帮助案件在G省法律援助刑事案件中的占比超50%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C、2022年，全国法律援助机构值班律师提供法律帮助超100万件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D、2018-2022年，G省法律援助机构累计帮助受援群众超110万人</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（四）</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        2021年，各地区各部门全面落实党中央、国务院关于实现数字乡村发展战略的决策部署，积极引入社会资本投资建数字乡村。2021年全国用于县域农业农村信息化建设的社会资本投入为954.6亿元，县均社会资本投入3588.8万元、乡村人均社会资本投入135.2元，分别比上年增长17.2%和24.0%。分区域看，东部地区社会资本投入562.4亿元，占全国社会资本投入58.9%；中部地区社会资本投入193.8亿元；西部地区社会资本投入198.4亿元。</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473700" cy="3157855"/>
            <wp:effectExtent l="0" t="0" r="12700" b="4445"/>
            <wp:docPr id="54" name="图片 85" descr="IMG_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85" descr="IMG_290"/>
                    <pic:cNvPicPr>
                      <a:picLocks noChangeAspect="1"/>
                    </pic:cNvPicPr>
                  </pic:nvPicPr>
                  <pic:blipFill>
                    <a:blip r:embed="rId37"/>
                    <a:stretch>
                      <a:fillRect/>
                    </a:stretch>
                  </pic:blipFill>
                  <pic:spPr>
                    <a:xfrm>
                      <a:off x="0" y="0"/>
                      <a:ext cx="5473700" cy="315785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295900" cy="3155950"/>
            <wp:effectExtent l="0" t="0" r="0" b="6350"/>
            <wp:docPr id="57" name="图片 86" descr="IMG_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86" descr="IMG_291"/>
                    <pic:cNvPicPr>
                      <a:picLocks noChangeAspect="1"/>
                    </pic:cNvPicPr>
                  </pic:nvPicPr>
                  <pic:blipFill>
                    <a:blip r:embed="rId38"/>
                    <a:stretch>
                      <a:fillRect/>
                    </a:stretch>
                  </pic:blipFill>
                  <pic:spPr>
                    <a:xfrm>
                      <a:off x="0" y="0"/>
                      <a:ext cx="5295900" cy="31559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2019-2021年，全国县域农业农村信息化建设县均社会资本投入的年均增率约为（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B、21%</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C、32%</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D、43%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2020年，全国用于县域农业农村信息化建设的社会资本投入（    ）（假设2020年县的数量与2021年相同）。</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A、不到800亿元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B、在800亿元到850亿元之间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C、在850亿元到900亿元之间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D、超过900亿元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2021年，东部地区县域农业农村信息化建设社会资本投入约是中、西部地区之和的（    ）倍。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A、1.43</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B、1.64</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C、1.80</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D、1.95</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2021年，关于县域农业农村信息化建设，下列数据同比增长率最大的是（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A、东部地区县均社会资本投入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B、东部地区乡村人均社会资本投入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C、西部地区县均社会资本投入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D、西部地区乡村人均社会资本投入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根据资料，关于县域农业农村信息化建设，以下说法正确的是（    ）。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A、2019年，西部地区乡村人均社会资本投入低于中部地区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B、2020年，东部地区县均社会资本投入同比增量高于中部地区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C、2019~2021年，东部地区乡村人均社会资本投入年均增长率高于中部和西部地区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D、2019~2021年，中部地区县均社会资本投入增速高于全国县均社会资本投入增速</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1936150"/>
    <w:rsid w:val="0F81354A"/>
    <w:rsid w:val="41936150"/>
    <w:rsid w:val="55D05C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0" Type="http://schemas.openxmlformats.org/officeDocument/2006/relationships/fontTable" Target="fontTable.xml"/><Relationship Id="rId4" Type="http://schemas.openxmlformats.org/officeDocument/2006/relationships/image" Target="media/image1.png"/><Relationship Id="rId39" Type="http://schemas.openxmlformats.org/officeDocument/2006/relationships/customXml" Target="../customXml/item1.xml"/><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jpe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 Type="http://schemas.openxmlformats.org/officeDocument/2006/relationships/image" Target="media/image11.png"/><Relationship Id="rId13" Type="http://schemas.openxmlformats.org/officeDocument/2006/relationships/image" Target="media/image10.png"/><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2024-07-09T00:23:00Z</dcterms:created>
  <dc:creator>Mfkige</dc:creator>
  <cp:lastModifiedBy>Mfkige</cp:lastModifiedBy>
  <dcterms:modified xsi:type="dcterms:W3CDTF">2024-07-09T00:35:03Z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CD5B772085D249ACA181EE96CE272853</vt:lpwstr>
  </property>
</Properties>
</file>